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8D" w:rsidRDefault="0050198D" w:rsidP="0050198D">
      <w:pPr>
        <w:spacing w:after="0" w:line="240" w:lineRule="auto"/>
        <w:jc w:val="right"/>
        <w:rPr>
          <w:rFonts w:ascii="Segoe UI" w:hAnsi="Segoe UI" w:cs="Segoe UI"/>
          <w:b/>
          <w:sz w:val="28"/>
          <w:szCs w:val="28"/>
        </w:rPr>
      </w:pPr>
      <w:r w:rsidRPr="002D6C2D">
        <w:rPr>
          <w:rFonts w:ascii="Segoe UI" w:hAnsi="Segoe UI" w:cs="Segoe UI"/>
          <w:b/>
          <w:sz w:val="28"/>
          <w:szCs w:val="28"/>
        </w:rPr>
        <w:t>ПРЕСС-РЕЛИЗ</w:t>
      </w:r>
    </w:p>
    <w:p w:rsidR="0050198D" w:rsidRDefault="0050198D" w:rsidP="0050198D">
      <w:pPr>
        <w:spacing w:after="0" w:line="240" w:lineRule="auto"/>
        <w:ind w:firstLine="709"/>
        <w:jc w:val="right"/>
        <w:rPr>
          <w:rFonts w:ascii="Segoe UI" w:hAnsi="Segoe UI" w:cs="Segoe UI"/>
          <w:b/>
          <w:sz w:val="32"/>
        </w:rPr>
      </w:pPr>
    </w:p>
    <w:p w:rsidR="004C2B2E" w:rsidRPr="00F52D7E" w:rsidRDefault="004C2B2E" w:rsidP="004C2B2E">
      <w:pPr>
        <w:spacing w:after="0" w:line="240" w:lineRule="auto"/>
        <w:ind w:firstLine="709"/>
        <w:jc w:val="center"/>
        <w:rPr>
          <w:rFonts w:ascii="Segoe UI" w:hAnsi="Segoe UI" w:cs="Segoe UI"/>
          <w:b/>
          <w:sz w:val="32"/>
        </w:rPr>
      </w:pPr>
      <w:r>
        <w:rPr>
          <w:rFonts w:ascii="Segoe UI" w:hAnsi="Segoe UI" w:cs="Segoe UI"/>
          <w:b/>
          <w:sz w:val="32"/>
        </w:rPr>
        <w:t xml:space="preserve">Краснодарский край лидирует по количеству установленных границ </w:t>
      </w:r>
      <w:r w:rsidR="00DC7EAA">
        <w:rPr>
          <w:rFonts w:ascii="Segoe UI" w:hAnsi="Segoe UI" w:cs="Segoe UI"/>
          <w:b/>
          <w:sz w:val="32"/>
        </w:rPr>
        <w:t>населенных пунктов</w:t>
      </w:r>
      <w:r>
        <w:rPr>
          <w:rFonts w:ascii="Segoe UI" w:hAnsi="Segoe UI" w:cs="Segoe UI"/>
          <w:b/>
          <w:sz w:val="32"/>
        </w:rPr>
        <w:t xml:space="preserve">, что, по мнению экспертов, </w:t>
      </w:r>
      <w:r w:rsidR="00B2355C" w:rsidRPr="00B2355C">
        <w:rPr>
          <w:rStyle w:val="a8"/>
          <w:rFonts w:ascii="Segoe UI" w:hAnsi="Segoe UI" w:cs="Segoe UI"/>
          <w:b/>
          <w:i w:val="0"/>
          <w:color w:val="000000"/>
          <w:sz w:val="32"/>
          <w:szCs w:val="28"/>
          <w:shd w:val="clear" w:color="auto" w:fill="FFFFFF"/>
        </w:rPr>
        <w:t>способствует снижению числа земельных споров между правообладателями</w:t>
      </w:r>
    </w:p>
    <w:p w:rsidR="00E14E85" w:rsidRPr="00E14E85" w:rsidRDefault="00E14E85" w:rsidP="00E14E85">
      <w:pPr>
        <w:spacing w:after="0" w:line="240" w:lineRule="auto"/>
        <w:ind w:firstLine="709"/>
        <w:jc w:val="both"/>
        <w:rPr>
          <w:rFonts w:ascii="Segoe UI" w:hAnsi="Segoe UI" w:cs="Segoe UI"/>
          <w:sz w:val="24"/>
        </w:rPr>
      </w:pPr>
    </w:p>
    <w:p w:rsidR="00E14E85" w:rsidRPr="00E14E85" w:rsidRDefault="0050198D" w:rsidP="00E14E85">
      <w:pPr>
        <w:spacing w:after="0" w:line="240" w:lineRule="auto"/>
        <w:ind w:firstLine="709"/>
        <w:jc w:val="both"/>
        <w:rPr>
          <w:rFonts w:ascii="Segoe UI" w:hAnsi="Segoe UI" w:cs="Segoe UI"/>
          <w:sz w:val="24"/>
        </w:rPr>
      </w:pPr>
      <w:r w:rsidRPr="0050198D">
        <w:rPr>
          <w:rFonts w:ascii="Segoe UI" w:hAnsi="Segoe UI" w:cs="Segoe UI"/>
          <w:noProof/>
          <w:sz w:val="24"/>
        </w:rPr>
        <w:drawing>
          <wp:anchor distT="0" distB="0" distL="114300" distR="114300" simplePos="0" relativeHeight="251659264" behindDoc="1" locked="0" layoutInCell="1" allowOverlap="1">
            <wp:simplePos x="0" y="0"/>
            <wp:positionH relativeFrom="column">
              <wp:posOffset>8255</wp:posOffset>
            </wp:positionH>
            <wp:positionV relativeFrom="paragraph">
              <wp:posOffset>175260</wp:posOffset>
            </wp:positionV>
            <wp:extent cx="2257425" cy="627380"/>
            <wp:effectExtent l="19050" t="0" r="9525" b="0"/>
            <wp:wrapTight wrapText="bothSides">
              <wp:wrapPolygon edited="0">
                <wp:start x="-182" y="0"/>
                <wp:lineTo x="-182" y="20988"/>
                <wp:lineTo x="21691" y="20988"/>
                <wp:lineTo x="21691" y="0"/>
                <wp:lineTo x="-182" y="0"/>
              </wp:wrapPolygon>
            </wp:wrapTight>
            <wp:docPr id="1"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627380"/>
                    </a:xfrm>
                    <a:prstGeom prst="rect">
                      <a:avLst/>
                    </a:prstGeom>
                    <a:noFill/>
                    <a:ln>
                      <a:noFill/>
                    </a:ln>
                  </pic:spPr>
                </pic:pic>
              </a:graphicData>
            </a:graphic>
          </wp:anchor>
        </w:drawing>
      </w:r>
      <w:r w:rsidRPr="0050198D">
        <w:rPr>
          <w:rFonts w:ascii="Segoe UI" w:hAnsi="Segoe UI" w:cs="Segoe UI"/>
          <w:sz w:val="24"/>
        </w:rPr>
        <w:t xml:space="preserve"> </w:t>
      </w:r>
      <w:r w:rsidR="00E14E85" w:rsidRPr="00E14E85">
        <w:rPr>
          <w:rFonts w:ascii="Segoe UI" w:hAnsi="Segoe UI" w:cs="Segoe UI"/>
          <w:sz w:val="24"/>
        </w:rPr>
        <w:t>«Пограничные» разногласия не редкость для собствен</w:t>
      </w:r>
      <w:r w:rsidR="004C2B2E">
        <w:rPr>
          <w:rFonts w:ascii="Segoe UI" w:hAnsi="Segoe UI" w:cs="Segoe UI"/>
          <w:sz w:val="24"/>
        </w:rPr>
        <w:t>ников двух смежных участков. В К</w:t>
      </w:r>
      <w:r w:rsidR="00E14E85" w:rsidRPr="00E14E85">
        <w:rPr>
          <w:rFonts w:ascii="Segoe UI" w:hAnsi="Segoe UI" w:cs="Segoe UI"/>
          <w:sz w:val="24"/>
        </w:rPr>
        <w:t>адастровой палате назвали причину возникновения споров за территорию и подкрепили экспертное мнение цифрами.</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Собственникам земельных участков, у которых не определены границы, Кадастровая палата рекомендует провести межевание и внести уточненные сведения в Единый государственный реестр недвижимости (ЕГРН). Практика показывает, что именно отсутствие точно определенных границ – причина большинства споров между владельцами смежных участков. Уточнение границ защитит права собственников, а также минимизирует возникновение дополнительных рисков.</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В Федеральном законе о кадастровой деятельности под смежным земельным участком </w:t>
      </w:r>
      <w:hyperlink r:id="rId6" w:history="1">
        <w:r w:rsidRPr="00E14E85">
          <w:rPr>
            <w:rStyle w:val="a3"/>
            <w:rFonts w:ascii="Segoe UI" w:hAnsi="Segoe UI" w:cs="Segoe UI"/>
            <w:sz w:val="24"/>
          </w:rPr>
          <w:t>понимается</w:t>
        </w:r>
      </w:hyperlink>
      <w:r w:rsidRPr="00E14E85">
        <w:rPr>
          <w:rFonts w:ascii="Segoe UI" w:hAnsi="Segoe UI" w:cs="Segoe UI"/>
          <w:sz w:val="24"/>
        </w:rPr>
        <w:t> земельный участок, границы которого одновременно являются границами другого. То есть там, где заканчивается ваша территория, начинаются «сотки» соседа. Также могут возникнуть споры, если земельные участки не граничат друг с другом, но их использование – единственная возможность получить доступ к территориям общего пользования, к источнику воды, провести ремонтные работы или реализовать иные нужды. Если возникла похожая ситуация, рекомендуем установить сервитут, то есть предоставить право лицу или нескольким лицам ограниченно использовать ваш земельный участок. При этом установление сервитута не лишит вас права владения. Ограниченное пользование чужим земельным участком регулируется статьями 274-277 Гражданского кодекса. В зависимости от ситуации сервитут бывает двух типов: публичный и частный. Подробнее о его установлении можно прочитать </w:t>
      </w:r>
      <w:hyperlink r:id="rId7" w:history="1">
        <w:r w:rsidRPr="00E14E85">
          <w:rPr>
            <w:rStyle w:val="a3"/>
            <w:rFonts w:ascii="Segoe UI" w:hAnsi="Segoe UI" w:cs="Segoe UI"/>
            <w:sz w:val="24"/>
          </w:rPr>
          <w:t>в этом материале</w:t>
        </w:r>
      </w:hyperlink>
      <w:r w:rsidRPr="00E14E85">
        <w:rPr>
          <w:rFonts w:ascii="Segoe UI" w:hAnsi="Segoe UI" w:cs="Segoe UI"/>
          <w:sz w:val="24"/>
        </w:rPr>
        <w:t>.</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Чтобы уточнить границы, необходимо воспользоваться услугами кадастрового инженера и провести межевание земельного участка. Ознакомиться с информацией о действующих специалистах можно в сервисе Росреестра </w:t>
      </w:r>
      <w:hyperlink r:id="rId8" w:history="1">
        <w:r w:rsidRPr="00E14E85">
          <w:rPr>
            <w:rStyle w:val="a3"/>
            <w:rFonts w:ascii="Segoe UI" w:hAnsi="Segoe UI" w:cs="Segoe UI"/>
            <w:sz w:val="24"/>
          </w:rPr>
          <w:t>«Государственный реестр кадастровых инженеров»</w:t>
        </w:r>
      </w:hyperlink>
      <w:r w:rsidRPr="00E14E85">
        <w:rPr>
          <w:rFonts w:ascii="Segoe UI" w:hAnsi="Segoe UI" w:cs="Segoe UI"/>
          <w:sz w:val="24"/>
        </w:rPr>
        <w:t>. Советуем обратить внимание на опыт кадастрового инженера, качество и сроки проведения процедуры.</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Межевание – мера добровольная, но ее проведение поможет решить вопросы площади и границ земельного участка, а также избежать споров с соседями. После выполнения кадастровых работ в орган регистрации прав следует подать межевой план и заявление. Сделать это можно дистанционно через сервис </w:t>
      </w:r>
      <w:hyperlink r:id="rId9" w:history="1">
        <w:r w:rsidRPr="00E14E85">
          <w:rPr>
            <w:rStyle w:val="a3"/>
            <w:rFonts w:ascii="Segoe UI" w:hAnsi="Segoe UI" w:cs="Segoe UI"/>
            <w:sz w:val="24"/>
          </w:rPr>
          <w:t>«Выездное обслуживание»</w:t>
        </w:r>
      </w:hyperlink>
      <w:r w:rsidRPr="00E14E85">
        <w:rPr>
          <w:rFonts w:ascii="Segoe UI" w:hAnsi="Segoe UI" w:cs="Segoe UI"/>
          <w:sz w:val="24"/>
        </w:rPr>
        <w:t>. Более детально о том, как провести межевание и сколько это стоит, мы рассказывали </w:t>
      </w:r>
      <w:hyperlink r:id="rId10" w:history="1">
        <w:r w:rsidRPr="00E14E85">
          <w:rPr>
            <w:rStyle w:val="a3"/>
            <w:rFonts w:ascii="Segoe UI" w:hAnsi="Segoe UI" w:cs="Segoe UI"/>
            <w:sz w:val="24"/>
          </w:rPr>
          <w:t>ранее</w:t>
        </w:r>
      </w:hyperlink>
      <w:r w:rsidRPr="00E14E85">
        <w:rPr>
          <w:rFonts w:ascii="Segoe UI" w:hAnsi="Segoe UI" w:cs="Segoe UI"/>
          <w:sz w:val="24"/>
        </w:rPr>
        <w:t>.</w:t>
      </w:r>
    </w:p>
    <w:p w:rsidR="00E14E85" w:rsidRDefault="00E14E85" w:rsidP="0023007C">
      <w:pPr>
        <w:spacing w:after="0" w:line="240" w:lineRule="auto"/>
        <w:ind w:firstLine="709"/>
        <w:jc w:val="both"/>
        <w:rPr>
          <w:rFonts w:ascii="Segoe UI" w:hAnsi="Segoe UI" w:cs="Segoe UI"/>
          <w:sz w:val="24"/>
        </w:rPr>
      </w:pPr>
      <w:r w:rsidRPr="00E14E85">
        <w:rPr>
          <w:rFonts w:ascii="Segoe UI" w:hAnsi="Segoe UI" w:cs="Segoe UI"/>
          <w:sz w:val="24"/>
        </w:rPr>
        <w:t xml:space="preserve">К 1 июля, то есть в первой половине 2020 года, на территории </w:t>
      </w:r>
      <w:r w:rsidR="0023007C">
        <w:rPr>
          <w:rFonts w:ascii="Segoe UI" w:hAnsi="Segoe UI" w:cs="Segoe UI"/>
          <w:sz w:val="24"/>
        </w:rPr>
        <w:t xml:space="preserve">Краснодарского края доля земельных участков с уточненной площадью, сведениях о которых внесены в ЕГРН, составила </w:t>
      </w:r>
      <w:r w:rsidR="000F50E0" w:rsidRPr="003B0B88">
        <w:rPr>
          <w:rFonts w:ascii="Segoe UI" w:hAnsi="Segoe UI" w:cs="Segoe UI"/>
          <w:sz w:val="24"/>
        </w:rPr>
        <w:t>62% (1 999 411)</w:t>
      </w:r>
      <w:r w:rsidR="0023007C">
        <w:rPr>
          <w:rFonts w:ascii="Segoe UI" w:hAnsi="Segoe UI" w:cs="Segoe UI"/>
          <w:sz w:val="24"/>
        </w:rPr>
        <w:t xml:space="preserve"> при общем количестве </w:t>
      </w:r>
      <w:r w:rsidR="000F50E0" w:rsidRPr="003B0B88">
        <w:rPr>
          <w:rFonts w:ascii="Segoe UI" w:hAnsi="Segoe UI" w:cs="Segoe UI"/>
          <w:sz w:val="24"/>
        </w:rPr>
        <w:t>2 683 225</w:t>
      </w:r>
      <w:r w:rsidR="0023007C">
        <w:rPr>
          <w:rFonts w:ascii="Segoe UI" w:hAnsi="Segoe UI" w:cs="Segoe UI"/>
          <w:sz w:val="24"/>
        </w:rPr>
        <w:t xml:space="preserve"> </w:t>
      </w:r>
      <w:r w:rsidR="000F50E0">
        <w:rPr>
          <w:rFonts w:ascii="Segoe UI" w:hAnsi="Segoe UI" w:cs="Segoe UI"/>
          <w:sz w:val="24"/>
        </w:rPr>
        <w:t>земельных участков</w:t>
      </w:r>
      <w:r w:rsidR="0023007C">
        <w:rPr>
          <w:rFonts w:ascii="Segoe UI" w:hAnsi="Segoe UI" w:cs="Segoe UI"/>
          <w:sz w:val="24"/>
        </w:rPr>
        <w:t xml:space="preserve">. </w:t>
      </w:r>
      <w:r w:rsidRPr="00E14E85">
        <w:rPr>
          <w:rFonts w:ascii="Segoe UI" w:hAnsi="Segoe UI" w:cs="Segoe UI"/>
          <w:sz w:val="24"/>
        </w:rPr>
        <w:t xml:space="preserve"> </w:t>
      </w:r>
    </w:p>
    <w:p w:rsidR="003B0B88" w:rsidRPr="00E14E85" w:rsidRDefault="0023007C" w:rsidP="0050198D">
      <w:pPr>
        <w:spacing w:after="0" w:line="240" w:lineRule="auto"/>
        <w:ind w:firstLine="709"/>
        <w:jc w:val="both"/>
        <w:rPr>
          <w:rFonts w:ascii="Segoe UI" w:hAnsi="Segoe UI" w:cs="Segoe UI"/>
          <w:sz w:val="24"/>
        </w:rPr>
      </w:pPr>
      <w:r>
        <w:rPr>
          <w:rFonts w:ascii="Segoe UI" w:hAnsi="Segoe UI" w:cs="Segoe UI"/>
          <w:sz w:val="24"/>
        </w:rPr>
        <w:lastRenderedPageBreak/>
        <w:t xml:space="preserve">По России же </w:t>
      </w:r>
      <w:r w:rsidRPr="00E14E85">
        <w:rPr>
          <w:rFonts w:ascii="Segoe UI" w:hAnsi="Segoe UI" w:cs="Segoe UI"/>
          <w:sz w:val="24"/>
        </w:rPr>
        <w:t>доля земельных участков с уточненной площадью, внесенных в ЕГРН, составила 60,6% (36 853 079 ед.) при общем количестве 60 860</w:t>
      </w:r>
      <w:r>
        <w:rPr>
          <w:rFonts w:ascii="Segoe UI" w:hAnsi="Segoe UI" w:cs="Segoe UI"/>
          <w:sz w:val="24"/>
        </w:rPr>
        <w:t> </w:t>
      </w:r>
      <w:r w:rsidRPr="00E14E85">
        <w:rPr>
          <w:rFonts w:ascii="Segoe UI" w:hAnsi="Segoe UI" w:cs="Segoe UI"/>
          <w:sz w:val="24"/>
        </w:rPr>
        <w:t>672.</w:t>
      </w:r>
    </w:p>
    <w:p w:rsidR="00E14E85" w:rsidRPr="0050198D" w:rsidRDefault="00E14E85" w:rsidP="0050198D">
      <w:pPr>
        <w:spacing w:after="0" w:line="240" w:lineRule="auto"/>
        <w:ind w:firstLine="709"/>
        <w:jc w:val="both"/>
        <w:rPr>
          <w:rFonts w:ascii="Segoe UI" w:hAnsi="Segoe UI" w:cs="Segoe UI"/>
          <w:b/>
          <w:sz w:val="24"/>
        </w:rPr>
      </w:pPr>
      <w:r w:rsidRPr="003B0B88">
        <w:rPr>
          <w:rFonts w:ascii="Segoe UI" w:hAnsi="Segoe UI" w:cs="Segoe UI"/>
          <w:b/>
          <w:sz w:val="24"/>
        </w:rPr>
        <w:t>Муниципальные образования и населенные пункты</w:t>
      </w:r>
    </w:p>
    <w:p w:rsidR="00E14E85" w:rsidRPr="00E14E85" w:rsidRDefault="00E14E85" w:rsidP="0050198D">
      <w:pPr>
        <w:spacing w:after="0" w:line="240" w:lineRule="auto"/>
        <w:ind w:firstLine="709"/>
        <w:jc w:val="both"/>
        <w:rPr>
          <w:rFonts w:ascii="Segoe UI" w:hAnsi="Segoe UI" w:cs="Segoe UI"/>
          <w:sz w:val="24"/>
        </w:rPr>
      </w:pPr>
      <w:r w:rsidRPr="00E14E85">
        <w:rPr>
          <w:rFonts w:ascii="Segoe UI" w:hAnsi="Segoe UI" w:cs="Segoe UI"/>
          <w:sz w:val="24"/>
        </w:rPr>
        <w:t>Земельные разногласия, хоть и редко, могут возникнуть не только с соседом по даче, но, например, и на региональном уровне. Сократить их количество помогает внесение в ЕГРН сведений об административно-территориальном делении. Органы государственной власти и местного самоуправления направляют для внесения в ЕГРН сведения о границах муниципальных образований (МО), населенных пунктов (НП). Эта норма </w:t>
      </w:r>
      <w:hyperlink r:id="rId11" w:history="1">
        <w:r w:rsidRPr="00E14E85">
          <w:rPr>
            <w:rStyle w:val="a3"/>
            <w:rFonts w:ascii="Segoe UI" w:hAnsi="Segoe UI" w:cs="Segoe UI"/>
            <w:sz w:val="24"/>
          </w:rPr>
          <w:t>закреплена</w:t>
        </w:r>
      </w:hyperlink>
      <w:r w:rsidRPr="00E14E85">
        <w:rPr>
          <w:rFonts w:ascii="Segoe UI" w:hAnsi="Segoe UI" w:cs="Segoe UI"/>
          <w:sz w:val="24"/>
        </w:rPr>
        <w:t> в пунктах 7–8 части 1 статьи 32 Закона о государственной регистрации недвижимости.</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Кадастровая палата вносит в реестр недвижимости данные о границах в порядке межведомственного информационного взаимодействия. Актуальные сведения ЕГРН также помогают:</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снизить риски ведения бизнеса;</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увеличить инвестиционную привлекательность региона;</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вовлечь в оборот неиспользуемые земли;</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улучшить качество управления территориями и земельными ресурсами регионов.</w:t>
      </w:r>
    </w:p>
    <w:p w:rsidR="00E14E85" w:rsidRPr="00E14E85" w:rsidRDefault="00E14E85" w:rsidP="0050198D">
      <w:pPr>
        <w:spacing w:after="0" w:line="240" w:lineRule="auto"/>
        <w:ind w:firstLine="709"/>
        <w:jc w:val="both"/>
        <w:rPr>
          <w:rFonts w:ascii="Segoe UI" w:hAnsi="Segoe UI" w:cs="Segoe UI"/>
          <w:sz w:val="24"/>
        </w:rPr>
      </w:pPr>
      <w:r w:rsidRPr="00E14E85">
        <w:rPr>
          <w:rFonts w:ascii="Segoe UI" w:hAnsi="Segoe UI" w:cs="Segoe UI"/>
          <w:sz w:val="24"/>
        </w:rPr>
        <w:t>Приведем выдержки из статистики внесенны</w:t>
      </w:r>
      <w:r>
        <w:rPr>
          <w:rFonts w:ascii="Segoe UI" w:hAnsi="Segoe UI" w:cs="Segoe UI"/>
          <w:sz w:val="24"/>
        </w:rPr>
        <w:t xml:space="preserve">х данных в ЕГРН по состоянию на </w:t>
      </w:r>
      <w:r w:rsidRPr="00E14E85">
        <w:rPr>
          <w:rFonts w:ascii="Segoe UI" w:hAnsi="Segoe UI" w:cs="Segoe UI"/>
          <w:sz w:val="24"/>
        </w:rPr>
        <w:t>1 июля 2020 года.</w:t>
      </w:r>
    </w:p>
    <w:p w:rsidR="00E14E85" w:rsidRPr="0050198D" w:rsidRDefault="00E14E85" w:rsidP="0050198D">
      <w:pPr>
        <w:spacing w:after="0" w:line="240" w:lineRule="auto"/>
        <w:ind w:firstLine="709"/>
        <w:jc w:val="both"/>
        <w:rPr>
          <w:rFonts w:ascii="Segoe UI" w:hAnsi="Segoe UI" w:cs="Segoe UI"/>
          <w:b/>
          <w:sz w:val="24"/>
        </w:rPr>
      </w:pPr>
      <w:r w:rsidRPr="003B0B88">
        <w:rPr>
          <w:rFonts w:ascii="Segoe UI" w:hAnsi="Segoe UI" w:cs="Segoe UI"/>
          <w:b/>
          <w:sz w:val="24"/>
        </w:rPr>
        <w:t>Муниципальные образования</w:t>
      </w:r>
    </w:p>
    <w:p w:rsidR="00E14E85" w:rsidRDefault="00E14E85" w:rsidP="004C2B2E">
      <w:pPr>
        <w:spacing w:after="0" w:line="240" w:lineRule="auto"/>
        <w:ind w:firstLine="709"/>
        <w:jc w:val="both"/>
        <w:rPr>
          <w:rFonts w:ascii="Segoe UI" w:hAnsi="Segoe UI" w:cs="Segoe UI"/>
          <w:sz w:val="24"/>
        </w:rPr>
      </w:pPr>
      <w:r w:rsidRPr="00E14E85">
        <w:rPr>
          <w:rFonts w:ascii="Segoe UI" w:hAnsi="Segoe UI" w:cs="Segoe UI"/>
          <w:sz w:val="24"/>
        </w:rPr>
        <w:t>Общий показатель муниципальных образований по России, границы которых учтены, благоприятный – 71,2%: 14 933 из 20 984 единиц. Динамика за первое полугодие достаточно яркая – прирост на 5,4%: в четверти регионов их доля – более 90%.</w:t>
      </w:r>
    </w:p>
    <w:p w:rsidR="004C2B2E" w:rsidRPr="00E14E85" w:rsidRDefault="004C2B2E" w:rsidP="004C2B2E">
      <w:pPr>
        <w:spacing w:after="0" w:line="240" w:lineRule="auto"/>
        <w:ind w:firstLine="709"/>
        <w:jc w:val="both"/>
        <w:rPr>
          <w:rFonts w:ascii="Segoe UI" w:hAnsi="Segoe UI" w:cs="Segoe UI"/>
          <w:sz w:val="24"/>
        </w:rPr>
      </w:pPr>
      <w:r>
        <w:rPr>
          <w:rFonts w:ascii="Segoe UI" w:hAnsi="Segoe UI" w:cs="Segoe UI"/>
          <w:sz w:val="24"/>
        </w:rPr>
        <w:t xml:space="preserve">В Краснодарском крае количество муниципальных образований, границы которых учтены </w:t>
      </w:r>
      <w:r w:rsidR="0023007C">
        <w:rPr>
          <w:rFonts w:ascii="Segoe UI" w:hAnsi="Segoe UI" w:cs="Segoe UI"/>
          <w:sz w:val="24"/>
        </w:rPr>
        <w:t xml:space="preserve">составляет </w:t>
      </w:r>
      <w:r w:rsidR="00DB0EF8" w:rsidRPr="003B0B88">
        <w:rPr>
          <w:rFonts w:ascii="Segoe UI" w:hAnsi="Segoe UI" w:cs="Segoe UI"/>
          <w:sz w:val="24"/>
        </w:rPr>
        <w:t>355</w:t>
      </w:r>
      <w:r w:rsidR="0023007C">
        <w:rPr>
          <w:rFonts w:ascii="Segoe UI" w:hAnsi="Segoe UI" w:cs="Segoe UI"/>
          <w:sz w:val="24"/>
        </w:rPr>
        <w:t xml:space="preserve"> .</w:t>
      </w:r>
    </w:p>
    <w:p w:rsidR="004C2B2E" w:rsidRPr="0050198D" w:rsidRDefault="00E14E85" w:rsidP="0050198D">
      <w:pPr>
        <w:spacing w:after="0" w:line="240" w:lineRule="auto"/>
        <w:ind w:firstLine="709"/>
        <w:jc w:val="both"/>
        <w:rPr>
          <w:rFonts w:ascii="Segoe UI" w:hAnsi="Segoe UI" w:cs="Segoe UI"/>
          <w:sz w:val="24"/>
        </w:rPr>
      </w:pPr>
      <w:r w:rsidRPr="00E14E85">
        <w:rPr>
          <w:rFonts w:ascii="Segoe UI" w:hAnsi="Segoe UI" w:cs="Segoe UI"/>
          <w:sz w:val="24"/>
        </w:rPr>
        <w:t xml:space="preserve">На 99–100% внесены границы МО в 28 из 85 кадастровых округов Российской Федерации, что составляет треть от общего числа. </w:t>
      </w:r>
    </w:p>
    <w:p w:rsidR="00E14E85" w:rsidRPr="0050198D" w:rsidRDefault="00E14E85" w:rsidP="0050198D">
      <w:pPr>
        <w:spacing w:after="0" w:line="240" w:lineRule="auto"/>
        <w:ind w:firstLine="709"/>
        <w:jc w:val="both"/>
        <w:rPr>
          <w:rFonts w:ascii="Segoe UI" w:hAnsi="Segoe UI" w:cs="Segoe UI"/>
          <w:b/>
          <w:sz w:val="24"/>
        </w:rPr>
      </w:pPr>
      <w:r w:rsidRPr="004C2B2E">
        <w:rPr>
          <w:rFonts w:ascii="Segoe UI" w:hAnsi="Segoe UI" w:cs="Segoe UI"/>
          <w:b/>
          <w:sz w:val="24"/>
        </w:rPr>
        <w:t>Населенные пункты</w:t>
      </w:r>
    </w:p>
    <w:p w:rsidR="00E14E85" w:rsidRPr="00E14E85" w:rsidRDefault="00E14E85" w:rsidP="004C2B2E">
      <w:pPr>
        <w:spacing w:after="0" w:line="240" w:lineRule="auto"/>
        <w:ind w:firstLine="709"/>
        <w:jc w:val="both"/>
        <w:rPr>
          <w:rFonts w:ascii="Segoe UI" w:hAnsi="Segoe UI" w:cs="Segoe UI"/>
          <w:sz w:val="24"/>
        </w:rPr>
      </w:pPr>
      <w:r w:rsidRPr="00E14E85">
        <w:rPr>
          <w:rFonts w:ascii="Segoe UI" w:hAnsi="Segoe UI" w:cs="Segoe UI"/>
          <w:sz w:val="24"/>
        </w:rPr>
        <w:t>В конце первого полугодия 2020 года из всех населенных пунктов России (155 695) только у 32,3 % содержались сведения о границах в ЕГРН. С начала года этот показатель имеет непрерывную положительную динамику и к 1 июля вырос на 2,1%.</w:t>
      </w:r>
    </w:p>
    <w:p w:rsidR="00776598" w:rsidRDefault="00776598" w:rsidP="00E14E85">
      <w:pPr>
        <w:spacing w:after="0" w:line="240" w:lineRule="auto"/>
        <w:ind w:firstLine="709"/>
        <w:jc w:val="both"/>
        <w:rPr>
          <w:rFonts w:ascii="Segoe UI" w:hAnsi="Segoe UI" w:cs="Segoe UI"/>
          <w:sz w:val="24"/>
        </w:rPr>
      </w:pPr>
      <w:r>
        <w:rPr>
          <w:rFonts w:ascii="Segoe UI" w:hAnsi="Segoe UI" w:cs="Segoe UI"/>
          <w:sz w:val="24"/>
        </w:rPr>
        <w:t xml:space="preserve">Краснодарский край вошел в число лидеров по количеству установленных границ населенных пунктов. На 1 июля 2020 года в ЕГРН содержаться сведения о </w:t>
      </w:r>
      <w:r w:rsidR="00DB0EF8" w:rsidRPr="003B0B88">
        <w:rPr>
          <w:rFonts w:ascii="Segoe UI" w:hAnsi="Segoe UI" w:cs="Segoe UI"/>
          <w:sz w:val="24"/>
        </w:rPr>
        <w:t>1664</w:t>
      </w:r>
      <w:r>
        <w:rPr>
          <w:rFonts w:ascii="Segoe UI" w:hAnsi="Segoe UI" w:cs="Segoe UI"/>
          <w:sz w:val="24"/>
        </w:rPr>
        <w:t xml:space="preserve"> тысяч населенных пунктов.  </w:t>
      </w:r>
      <w:r w:rsidR="0050198D">
        <w:rPr>
          <w:rFonts w:ascii="Segoe UI" w:hAnsi="Segoe UI" w:cs="Segoe UI"/>
          <w:sz w:val="24"/>
        </w:rPr>
        <w:t xml:space="preserve">В число лидеров-регионов также вошла </w:t>
      </w:r>
      <w:r w:rsidR="0050198D" w:rsidRPr="00E14E85">
        <w:rPr>
          <w:rFonts w:ascii="Segoe UI" w:hAnsi="Segoe UI" w:cs="Segoe UI"/>
          <w:sz w:val="24"/>
        </w:rPr>
        <w:t>Тюменская область</w:t>
      </w:r>
      <w:r w:rsidR="00B2355C">
        <w:rPr>
          <w:rFonts w:ascii="Segoe UI" w:hAnsi="Segoe UI" w:cs="Segoe UI"/>
          <w:sz w:val="24"/>
        </w:rPr>
        <w:t>.</w:t>
      </w:r>
    </w:p>
    <w:p w:rsidR="00B2355C" w:rsidRPr="00B2355C" w:rsidRDefault="00B2355C" w:rsidP="00B2355C">
      <w:pPr>
        <w:pStyle w:val="a9"/>
        <w:spacing w:after="0"/>
        <w:ind w:firstLine="709"/>
        <w:jc w:val="both"/>
        <w:rPr>
          <w:rFonts w:ascii="Segoe UI" w:hAnsi="Segoe UI" w:cs="Segoe UI"/>
          <w:bCs/>
          <w:i/>
          <w:color w:val="000000"/>
          <w:szCs w:val="28"/>
        </w:rPr>
      </w:pPr>
      <w:r w:rsidRPr="00B2355C">
        <w:rPr>
          <w:rStyle w:val="a8"/>
          <w:rFonts w:ascii="Segoe UI" w:hAnsi="Segoe UI" w:cs="Segoe UI"/>
          <w:i w:val="0"/>
          <w:color w:val="000000"/>
          <w:szCs w:val="28"/>
          <w:shd w:val="clear" w:color="auto" w:fill="FFFFFF"/>
        </w:rPr>
        <w:t xml:space="preserve">Наличие в ЕГРН актуальных сведений о границах населенных пунктов способствует снижению числа земельных споров между правообладателями, созданию благоприятных условий для ведения бизнеса в регионе, развития конкуренции и улучшения инвестиционного климата. </w:t>
      </w:r>
    </w:p>
    <w:p w:rsidR="00E14E85" w:rsidRPr="00E14E85" w:rsidRDefault="00E14E85" w:rsidP="00E14E85">
      <w:pPr>
        <w:spacing w:after="0" w:line="240" w:lineRule="auto"/>
        <w:ind w:firstLine="709"/>
        <w:jc w:val="both"/>
        <w:rPr>
          <w:rFonts w:ascii="Segoe UI" w:hAnsi="Segoe UI" w:cs="Segoe UI"/>
          <w:sz w:val="24"/>
        </w:rPr>
      </w:pPr>
      <w:r w:rsidRPr="00E14E85">
        <w:rPr>
          <w:rFonts w:ascii="Segoe UI" w:hAnsi="Segoe UI" w:cs="Segoe UI"/>
          <w:sz w:val="24"/>
        </w:rPr>
        <w:t>Помимо Москвы, где в ЕГРН внесены все границы, практически не осталось населенных пунктов без установленных границ в Чувашской Республике и Белгородской области. Однако некоторые регионы пока не могут похвастаться такими высокими значениями. Например, в Кабардино-Балкарии, Марий Эл, Крыму, а также Волгоградской, Кировской, Псковской, Ростовской области доля НП, сведения о границах которых содержатся в ЕГРН, – менее 5%.</w:t>
      </w:r>
    </w:p>
    <w:p w:rsidR="0050198D" w:rsidRDefault="0050198D" w:rsidP="0050198D">
      <w:pPr>
        <w:pStyle w:val="a4"/>
        <w:spacing w:before="0" w:beforeAutospacing="0" w:after="0" w:afterAutospacing="0"/>
        <w:jc w:val="both"/>
        <w:rPr>
          <w:rFonts w:ascii="Segoe UI" w:hAnsi="Segoe UI" w:cs="Segoe UI"/>
          <w:color w:val="000000" w:themeColor="text1"/>
          <w:szCs w:val="28"/>
        </w:rPr>
      </w:pPr>
      <w:r>
        <w:rPr>
          <w:rFonts w:ascii="Segoe UI" w:hAnsi="Segoe UI" w:cs="Segoe UI"/>
          <w:color w:val="000000" w:themeColor="text1"/>
          <w:szCs w:val="28"/>
        </w:rPr>
        <w:t>______________________________________________________________________________________________________</w:t>
      </w:r>
    </w:p>
    <w:p w:rsidR="0050198D" w:rsidRPr="0050198D" w:rsidRDefault="0050198D" w:rsidP="0050198D">
      <w:pPr>
        <w:pStyle w:val="a4"/>
        <w:spacing w:before="0" w:beforeAutospacing="0" w:after="0" w:afterAutospacing="0"/>
        <w:jc w:val="both"/>
        <w:rPr>
          <w:rFonts w:ascii="Segoe UI" w:hAnsi="Segoe UI" w:cs="Segoe UI"/>
          <w:color w:val="000000" w:themeColor="text1"/>
          <w:sz w:val="22"/>
          <w:szCs w:val="28"/>
        </w:rPr>
      </w:pPr>
      <w:r w:rsidRPr="0050198D">
        <w:rPr>
          <w:noProof/>
          <w:sz w:val="22"/>
        </w:rPr>
        <w:lastRenderedPageBreak/>
        <w:drawing>
          <wp:anchor distT="0" distB="0" distL="114300" distR="114300" simplePos="0" relativeHeight="251661312" behindDoc="1" locked="0" layoutInCell="1" allowOverlap="1">
            <wp:simplePos x="0" y="0"/>
            <wp:positionH relativeFrom="column">
              <wp:posOffset>26670</wp:posOffset>
            </wp:positionH>
            <wp:positionV relativeFrom="paragraph">
              <wp:posOffset>113030</wp:posOffset>
            </wp:positionV>
            <wp:extent cx="297180" cy="297180"/>
            <wp:effectExtent l="19050" t="0" r="7620" b="0"/>
            <wp:wrapTight wrapText="bothSides">
              <wp:wrapPolygon edited="0">
                <wp:start x="-1385" y="0"/>
                <wp:lineTo x="-1385" y="20769"/>
                <wp:lineTo x="22154" y="20769"/>
                <wp:lineTo x="22154" y="0"/>
                <wp:lineTo x="-1385" y="0"/>
              </wp:wrapPolygon>
            </wp:wrapTight>
            <wp:docPr id="7"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12"/>
                    <a:srcRect/>
                    <a:stretch>
                      <a:fillRect/>
                    </a:stretch>
                  </pic:blipFill>
                  <pic:spPr bwMode="auto">
                    <a:xfrm>
                      <a:off x="0" y="0"/>
                      <a:ext cx="297180" cy="297180"/>
                    </a:xfrm>
                    <a:prstGeom prst="rect">
                      <a:avLst/>
                    </a:prstGeom>
                    <a:noFill/>
                  </pic:spPr>
                </pic:pic>
              </a:graphicData>
            </a:graphic>
          </wp:anchor>
        </w:drawing>
      </w:r>
      <w:r w:rsidRPr="0050198D">
        <w:rPr>
          <w:rFonts w:ascii="Segoe UI" w:hAnsi="Segoe UI" w:cs="Segoe UI"/>
          <w:color w:val="000000" w:themeColor="text1"/>
          <w:sz w:val="22"/>
          <w:szCs w:val="28"/>
        </w:rPr>
        <w:t>Пресс-служба Кадастровой палаты по Краснодарскому краю</w:t>
      </w:r>
    </w:p>
    <w:p w:rsidR="0050198D" w:rsidRPr="0050198D" w:rsidRDefault="0050198D" w:rsidP="0050198D">
      <w:pPr>
        <w:pStyle w:val="a4"/>
        <w:spacing w:before="0" w:beforeAutospacing="0" w:after="0" w:afterAutospacing="0"/>
        <w:jc w:val="both"/>
        <w:rPr>
          <w:rFonts w:ascii="Segoe UI" w:hAnsi="Segoe UI" w:cs="Segoe UI"/>
          <w:color w:val="000000" w:themeColor="text1"/>
          <w:sz w:val="22"/>
          <w:szCs w:val="28"/>
        </w:rPr>
      </w:pPr>
      <w:r w:rsidRPr="0050198D">
        <w:rPr>
          <w:rFonts w:ascii="Segoe UI" w:hAnsi="Segoe UI" w:cs="Segoe UI"/>
          <w:sz w:val="22"/>
        </w:rPr>
        <w:t>ул. Сормовская, д. 3, Краснодар, 350018</w:t>
      </w:r>
    </w:p>
    <w:p w:rsidR="0050198D" w:rsidRDefault="0050198D" w:rsidP="0050198D">
      <w:pPr>
        <w:pStyle w:val="a4"/>
        <w:spacing w:before="0" w:beforeAutospacing="0" w:after="0" w:afterAutospacing="0"/>
        <w:rPr>
          <w:rStyle w:val="a3"/>
          <w:rFonts w:eastAsiaTheme="minorEastAsia"/>
          <w:sz w:val="22"/>
          <w:szCs w:val="22"/>
        </w:rPr>
      </w:pPr>
    </w:p>
    <w:tbl>
      <w:tblPr>
        <w:tblStyle w:val="a5"/>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5"/>
        <w:gridCol w:w="4453"/>
        <w:gridCol w:w="672"/>
        <w:gridCol w:w="4480"/>
      </w:tblGrid>
      <w:tr w:rsidR="0050198D" w:rsidTr="0050198D">
        <w:trPr>
          <w:jc w:val="center"/>
        </w:trPr>
        <w:tc>
          <w:tcPr>
            <w:tcW w:w="775" w:type="dxa"/>
            <w:hideMark/>
          </w:tcPr>
          <w:p w:rsidR="0050198D" w:rsidRDefault="0050198D" w:rsidP="00446E36">
            <w:pPr>
              <w:pStyle w:val="a4"/>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themeColor="hyperlink"/>
                <w:szCs w:val="28"/>
              </w:rPr>
              <w:drawing>
                <wp:inline distT="0" distB="0" distL="0" distR="0">
                  <wp:extent cx="313898" cy="313898"/>
                  <wp:effectExtent l="19050" t="0" r="0" b="0"/>
                  <wp:docPr id="6"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3" cstate="print"/>
                          <a:srcRect/>
                          <a:stretch>
                            <a:fillRect/>
                          </a:stretch>
                        </pic:blipFill>
                        <pic:spPr bwMode="auto">
                          <a:xfrm>
                            <a:off x="0" y="0"/>
                            <a:ext cx="316815" cy="316815"/>
                          </a:xfrm>
                          <a:prstGeom prst="rect">
                            <a:avLst/>
                          </a:prstGeom>
                          <a:noFill/>
                          <a:ln w="9525">
                            <a:noFill/>
                            <a:miter lim="800000"/>
                            <a:headEnd/>
                            <a:tailEnd/>
                          </a:ln>
                        </pic:spPr>
                      </pic:pic>
                    </a:graphicData>
                  </a:graphic>
                </wp:inline>
              </w:drawing>
            </w:r>
          </w:p>
        </w:tc>
        <w:tc>
          <w:tcPr>
            <w:tcW w:w="4453" w:type="dxa"/>
            <w:hideMark/>
          </w:tcPr>
          <w:p w:rsidR="0050198D" w:rsidRPr="0050198D" w:rsidRDefault="00EC2206" w:rsidP="00446E36">
            <w:pPr>
              <w:pStyle w:val="a4"/>
              <w:spacing w:before="0" w:beforeAutospacing="0" w:after="0" w:afterAutospacing="0"/>
              <w:contextualSpacing/>
              <w:rPr>
                <w:rFonts w:ascii="Segoe UI" w:hAnsi="Segoe UI" w:cs="Segoe UI"/>
                <w:color w:val="0000FF" w:themeColor="hyperlink"/>
                <w:sz w:val="22"/>
                <w:szCs w:val="28"/>
                <w:u w:val="single"/>
              </w:rPr>
            </w:pPr>
            <w:hyperlink r:id="rId14" w:history="1">
              <w:r w:rsidR="0050198D" w:rsidRPr="0050198D">
                <w:rPr>
                  <w:rStyle w:val="a3"/>
                  <w:rFonts w:ascii="Segoe UI" w:hAnsi="Segoe UI" w:cs="Segoe UI"/>
                  <w:sz w:val="22"/>
                  <w:szCs w:val="28"/>
                </w:rPr>
                <w:t>press23@23.kadastr.ru</w:t>
              </w:r>
            </w:hyperlink>
          </w:p>
        </w:tc>
        <w:tc>
          <w:tcPr>
            <w:tcW w:w="672" w:type="dxa"/>
            <w:hideMark/>
          </w:tcPr>
          <w:p w:rsidR="0050198D" w:rsidRPr="0050198D" w:rsidRDefault="0050198D" w:rsidP="00446E36">
            <w:pPr>
              <w:contextualSpacing/>
              <w:rPr>
                <w:rStyle w:val="a3"/>
                <w:rFonts w:ascii="Segoe UI" w:hAnsi="Segoe UI" w:cs="Segoe UI"/>
                <w:noProof/>
              </w:rPr>
            </w:pPr>
            <w:r w:rsidRPr="0050198D">
              <w:rPr>
                <w:rFonts w:ascii="Segoe UI" w:hAnsi="Segoe UI" w:cs="Segoe UI"/>
                <w:noProof/>
                <w:color w:val="0000FF"/>
              </w:rPr>
              <w:drawing>
                <wp:inline distT="0" distB="0" distL="0" distR="0">
                  <wp:extent cx="307359" cy="313898"/>
                  <wp:effectExtent l="19050" t="0" r="0" b="0"/>
                  <wp:docPr id="5"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5" cstate="print"/>
                          <a:srcRect/>
                          <a:stretch>
                            <a:fillRect/>
                          </a:stretch>
                        </pic:blipFill>
                        <pic:spPr bwMode="auto">
                          <a:xfrm>
                            <a:off x="0" y="0"/>
                            <a:ext cx="306386" cy="312905"/>
                          </a:xfrm>
                          <a:prstGeom prst="rect">
                            <a:avLst/>
                          </a:prstGeom>
                          <a:noFill/>
                          <a:ln w="9525">
                            <a:noFill/>
                            <a:miter lim="800000"/>
                            <a:headEnd/>
                            <a:tailEnd/>
                          </a:ln>
                        </pic:spPr>
                      </pic:pic>
                    </a:graphicData>
                  </a:graphic>
                </wp:inline>
              </w:drawing>
            </w:r>
          </w:p>
        </w:tc>
        <w:tc>
          <w:tcPr>
            <w:tcW w:w="4480" w:type="dxa"/>
            <w:hideMark/>
          </w:tcPr>
          <w:p w:rsidR="0050198D" w:rsidRPr="0050198D" w:rsidRDefault="0050198D" w:rsidP="00446E36">
            <w:pPr>
              <w:contextualSpacing/>
              <w:rPr>
                <w:rFonts w:ascii="Segoe UI" w:hAnsi="Segoe UI" w:cs="Segoe UI"/>
                <w:color w:val="0000FF" w:themeColor="hyperlink"/>
                <w:szCs w:val="28"/>
                <w:u w:val="single"/>
              </w:rPr>
            </w:pPr>
            <w:r w:rsidRPr="0050198D">
              <w:rPr>
                <w:rFonts w:ascii="Segoe UI" w:hAnsi="Segoe UI" w:cs="Segoe UI"/>
                <w:color w:val="0000FF" w:themeColor="hyperlink"/>
                <w:szCs w:val="28"/>
                <w:u w:val="single"/>
              </w:rPr>
              <w:t>https://www.instagram.com/kadastr_kuban</w:t>
            </w:r>
          </w:p>
        </w:tc>
      </w:tr>
      <w:tr w:rsidR="0050198D" w:rsidTr="0050198D">
        <w:trPr>
          <w:jc w:val="center"/>
        </w:trPr>
        <w:tc>
          <w:tcPr>
            <w:tcW w:w="775" w:type="dxa"/>
            <w:hideMark/>
          </w:tcPr>
          <w:p w:rsidR="0050198D" w:rsidRDefault="0050198D" w:rsidP="00446E36">
            <w:pPr>
              <w:pStyle w:val="a4"/>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rPr>
              <w:drawing>
                <wp:inline distT="0" distB="0" distL="0" distR="0">
                  <wp:extent cx="294053" cy="294053"/>
                  <wp:effectExtent l="19050" t="0" r="0" b="0"/>
                  <wp:docPr id="8"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6" cstate="print"/>
                          <a:srcRect/>
                          <a:stretch>
                            <a:fillRect/>
                          </a:stretch>
                        </pic:blipFill>
                        <pic:spPr bwMode="auto">
                          <a:xfrm>
                            <a:off x="0" y="0"/>
                            <a:ext cx="296786" cy="296786"/>
                          </a:xfrm>
                          <a:prstGeom prst="rect">
                            <a:avLst/>
                          </a:prstGeom>
                          <a:noFill/>
                          <a:ln w="9525">
                            <a:noFill/>
                            <a:miter lim="800000"/>
                            <a:headEnd/>
                            <a:tailEnd/>
                          </a:ln>
                        </pic:spPr>
                      </pic:pic>
                    </a:graphicData>
                  </a:graphic>
                </wp:inline>
              </w:drawing>
            </w:r>
          </w:p>
        </w:tc>
        <w:tc>
          <w:tcPr>
            <w:tcW w:w="4453" w:type="dxa"/>
            <w:hideMark/>
          </w:tcPr>
          <w:p w:rsidR="0050198D" w:rsidRPr="0050198D" w:rsidRDefault="0050198D" w:rsidP="00446E36">
            <w:pPr>
              <w:pStyle w:val="a4"/>
              <w:spacing w:before="0" w:beforeAutospacing="0" w:after="0" w:afterAutospacing="0"/>
              <w:contextualSpacing/>
              <w:rPr>
                <w:rFonts w:ascii="Segoe UI" w:hAnsi="Segoe UI" w:cs="Segoe UI"/>
                <w:color w:val="0000FF" w:themeColor="hyperlink"/>
                <w:sz w:val="22"/>
                <w:szCs w:val="28"/>
                <w:u w:val="single"/>
              </w:rPr>
            </w:pPr>
            <w:r w:rsidRPr="0050198D">
              <w:rPr>
                <w:rFonts w:ascii="Segoe UI" w:hAnsi="Segoe UI" w:cs="Segoe UI"/>
                <w:color w:val="0000FF" w:themeColor="hyperlink"/>
                <w:sz w:val="22"/>
                <w:szCs w:val="28"/>
                <w:u w:val="single"/>
              </w:rPr>
              <w:t>https://twitter.com/Kadastr_Kuban</w:t>
            </w:r>
          </w:p>
        </w:tc>
        <w:tc>
          <w:tcPr>
            <w:tcW w:w="672" w:type="dxa"/>
            <w:hideMark/>
          </w:tcPr>
          <w:p w:rsidR="0050198D" w:rsidRPr="0050198D" w:rsidRDefault="0050198D" w:rsidP="00446E36">
            <w:pPr>
              <w:contextualSpacing/>
              <w:rPr>
                <w:rStyle w:val="a3"/>
                <w:rFonts w:ascii="Segoe UI" w:hAnsi="Segoe UI" w:cs="Segoe UI"/>
                <w:noProof/>
              </w:rPr>
            </w:pPr>
            <w:r w:rsidRPr="0050198D">
              <w:rPr>
                <w:rFonts w:ascii="Segoe UI" w:hAnsi="Segoe UI" w:cs="Segoe UI"/>
                <w:noProof/>
                <w:color w:val="0000FF"/>
              </w:rPr>
              <w:drawing>
                <wp:inline distT="0" distB="0" distL="0" distR="0">
                  <wp:extent cx="308496" cy="308496"/>
                  <wp:effectExtent l="19050" t="0" r="0" b="0"/>
                  <wp:docPr id="4"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7" cstate="print"/>
                          <a:srcRect/>
                          <a:stretch>
                            <a:fillRect/>
                          </a:stretch>
                        </pic:blipFill>
                        <pic:spPr bwMode="auto">
                          <a:xfrm>
                            <a:off x="0" y="0"/>
                            <a:ext cx="311978" cy="311978"/>
                          </a:xfrm>
                          <a:prstGeom prst="rect">
                            <a:avLst/>
                          </a:prstGeom>
                          <a:noFill/>
                          <a:ln w="9525">
                            <a:noFill/>
                            <a:miter lim="800000"/>
                            <a:headEnd/>
                            <a:tailEnd/>
                          </a:ln>
                        </pic:spPr>
                      </pic:pic>
                    </a:graphicData>
                  </a:graphic>
                </wp:inline>
              </w:drawing>
            </w:r>
          </w:p>
        </w:tc>
        <w:tc>
          <w:tcPr>
            <w:tcW w:w="4480" w:type="dxa"/>
            <w:hideMark/>
          </w:tcPr>
          <w:p w:rsidR="0050198D" w:rsidRPr="0050198D" w:rsidRDefault="0050198D" w:rsidP="00446E36">
            <w:pPr>
              <w:contextualSpacing/>
              <w:rPr>
                <w:rFonts w:ascii="Segoe UI" w:hAnsi="Segoe UI" w:cs="Segoe UI"/>
                <w:color w:val="0000FF" w:themeColor="hyperlink"/>
                <w:szCs w:val="28"/>
                <w:u w:val="single"/>
              </w:rPr>
            </w:pPr>
            <w:r w:rsidRPr="0050198D">
              <w:rPr>
                <w:rFonts w:ascii="Segoe UI" w:hAnsi="Segoe UI" w:cs="Segoe UI"/>
                <w:color w:val="0000FF" w:themeColor="hyperlink"/>
                <w:szCs w:val="28"/>
                <w:u w:val="single"/>
              </w:rPr>
              <w:t>https://t.me/kadastr_kuban</w:t>
            </w:r>
          </w:p>
        </w:tc>
      </w:tr>
    </w:tbl>
    <w:p w:rsidR="008479C2" w:rsidRDefault="008479C2"/>
    <w:sectPr w:rsidR="008479C2" w:rsidSect="00E14E8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66DAE"/>
    <w:multiLevelType w:val="multilevel"/>
    <w:tmpl w:val="2270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E14E85"/>
    <w:rsid w:val="00021A08"/>
    <w:rsid w:val="00061074"/>
    <w:rsid w:val="000F50E0"/>
    <w:rsid w:val="0023007C"/>
    <w:rsid w:val="003B0B88"/>
    <w:rsid w:val="004C2B2E"/>
    <w:rsid w:val="0050198D"/>
    <w:rsid w:val="00513095"/>
    <w:rsid w:val="00776598"/>
    <w:rsid w:val="008479C2"/>
    <w:rsid w:val="00AA1ABE"/>
    <w:rsid w:val="00B2355C"/>
    <w:rsid w:val="00BA234B"/>
    <w:rsid w:val="00C10D2E"/>
    <w:rsid w:val="00DB0EF8"/>
    <w:rsid w:val="00DC7EAA"/>
    <w:rsid w:val="00E14E85"/>
    <w:rsid w:val="00EC2206"/>
    <w:rsid w:val="00F52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08"/>
  </w:style>
  <w:style w:type="paragraph" w:styleId="1">
    <w:name w:val="heading 1"/>
    <w:basedOn w:val="a"/>
    <w:link w:val="10"/>
    <w:uiPriority w:val="9"/>
    <w:qFormat/>
    <w:rsid w:val="00E14E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E85"/>
    <w:rPr>
      <w:rFonts w:ascii="Times New Roman" w:eastAsia="Times New Roman" w:hAnsi="Times New Roman" w:cs="Times New Roman"/>
      <w:b/>
      <w:bCs/>
      <w:kern w:val="36"/>
      <w:sz w:val="48"/>
      <w:szCs w:val="48"/>
    </w:rPr>
  </w:style>
  <w:style w:type="character" w:styleId="a3">
    <w:name w:val="Hyperlink"/>
    <w:basedOn w:val="a0"/>
    <w:uiPriority w:val="99"/>
    <w:unhideWhenUsed/>
    <w:rsid w:val="00E14E85"/>
    <w:rPr>
      <w:color w:val="0000FF"/>
      <w:u w:val="single"/>
    </w:rPr>
  </w:style>
  <w:style w:type="paragraph" w:styleId="a4">
    <w:name w:val="Normal (Web)"/>
    <w:basedOn w:val="a"/>
    <w:uiPriority w:val="99"/>
    <w:unhideWhenUsed/>
    <w:rsid w:val="00E14E8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501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019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98D"/>
    <w:rPr>
      <w:rFonts w:ascii="Tahoma" w:hAnsi="Tahoma" w:cs="Tahoma"/>
      <w:sz w:val="16"/>
      <w:szCs w:val="16"/>
    </w:rPr>
  </w:style>
  <w:style w:type="character" w:styleId="a8">
    <w:name w:val="Emphasis"/>
    <w:qFormat/>
    <w:rsid w:val="00B2355C"/>
    <w:rPr>
      <w:i/>
      <w:iCs/>
    </w:rPr>
  </w:style>
  <w:style w:type="paragraph" w:styleId="a9">
    <w:name w:val="Body Text"/>
    <w:basedOn w:val="a"/>
    <w:link w:val="aa"/>
    <w:rsid w:val="00B2355C"/>
    <w:pPr>
      <w:spacing w:after="120" w:line="240" w:lineRule="auto"/>
    </w:pPr>
    <w:rPr>
      <w:rFonts w:ascii="Arial" w:eastAsia="Calibri" w:hAnsi="Arial" w:cs="Arial"/>
      <w:kern w:val="1"/>
      <w:sz w:val="24"/>
      <w:szCs w:val="24"/>
      <w:lang w:eastAsia="ar-SA"/>
    </w:rPr>
  </w:style>
  <w:style w:type="character" w:customStyle="1" w:styleId="aa">
    <w:name w:val="Основной текст Знак"/>
    <w:basedOn w:val="a0"/>
    <w:link w:val="a9"/>
    <w:rsid w:val="00B2355C"/>
    <w:rPr>
      <w:rFonts w:ascii="Arial" w:eastAsia="Calibri" w:hAnsi="Arial" w:cs="Arial"/>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544443381">
      <w:bodyDiv w:val="1"/>
      <w:marLeft w:val="0"/>
      <w:marRight w:val="0"/>
      <w:marTop w:val="0"/>
      <w:marBottom w:val="0"/>
      <w:divBdr>
        <w:top w:val="none" w:sz="0" w:space="0" w:color="auto"/>
        <w:left w:val="none" w:sz="0" w:space="0" w:color="auto"/>
        <w:bottom w:val="none" w:sz="0" w:space="0" w:color="auto"/>
        <w:right w:val="none" w:sz="0" w:space="0" w:color="auto"/>
      </w:divBdr>
      <w:divsChild>
        <w:div w:id="435444944">
          <w:marLeft w:val="-163"/>
          <w:marRight w:val="-163"/>
          <w:marTop w:val="0"/>
          <w:marBottom w:val="0"/>
          <w:divBdr>
            <w:top w:val="none" w:sz="0" w:space="0" w:color="auto"/>
            <w:left w:val="none" w:sz="0" w:space="0" w:color="auto"/>
            <w:bottom w:val="none" w:sz="0" w:space="0" w:color="auto"/>
            <w:right w:val="none" w:sz="0" w:space="0" w:color="auto"/>
          </w:divBdr>
          <w:divsChild>
            <w:div w:id="147790574">
              <w:marLeft w:val="2771"/>
              <w:marRight w:val="0"/>
              <w:marTop w:val="0"/>
              <w:marBottom w:val="0"/>
              <w:divBdr>
                <w:top w:val="none" w:sz="0" w:space="0" w:color="auto"/>
                <w:left w:val="none" w:sz="0" w:space="0" w:color="auto"/>
                <w:bottom w:val="none" w:sz="0" w:space="0" w:color="auto"/>
                <w:right w:val="none" w:sz="0" w:space="0" w:color="auto"/>
              </w:divBdr>
            </w:div>
          </w:divsChild>
        </w:div>
        <w:div w:id="18089790">
          <w:marLeft w:val="-163"/>
          <w:marRight w:val="-163"/>
          <w:marTop w:val="0"/>
          <w:marBottom w:val="0"/>
          <w:divBdr>
            <w:top w:val="none" w:sz="0" w:space="0" w:color="auto"/>
            <w:left w:val="none" w:sz="0" w:space="0" w:color="auto"/>
            <w:bottom w:val="none" w:sz="0" w:space="0" w:color="auto"/>
            <w:right w:val="none" w:sz="0" w:space="0" w:color="auto"/>
          </w:divBdr>
          <w:divsChild>
            <w:div w:id="243147705">
              <w:marLeft w:val="0"/>
              <w:marRight w:val="0"/>
              <w:marTop w:val="0"/>
              <w:marBottom w:val="0"/>
              <w:divBdr>
                <w:top w:val="none" w:sz="0" w:space="0" w:color="auto"/>
                <w:left w:val="none" w:sz="0" w:space="0" w:color="auto"/>
                <w:bottom w:val="none" w:sz="0" w:space="0" w:color="auto"/>
                <w:right w:val="none" w:sz="0" w:space="0" w:color="auto"/>
              </w:divBdr>
              <w:divsChild>
                <w:div w:id="12431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wps/portal/ais_rki"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dastr.ru/magazine/articles/svoy-sredi-chuzhikh-ili-chto-takoe-chastnyy-servitut/" TargetMode="Externa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consultant.ru/document/cons_doc_LAW_70088/4f1bebcfa021a0dc294282157b643f1cda962ff2/" TargetMode="External"/><Relationship Id="rId11" Type="http://schemas.openxmlformats.org/officeDocument/2006/relationships/hyperlink" Target="http://www.consultant.ru/document/cons_doc_LAW_182661/5de738b5b6403641532a8879632465738789da7a/" TargetMode="External"/><Relationship Id="rId5" Type="http://schemas.openxmlformats.org/officeDocument/2006/relationships/image" Target="media/image1.jpeg"/><Relationship Id="rId15" Type="http://schemas.openxmlformats.org/officeDocument/2006/relationships/image" Target="media/image4.png"/><Relationship Id="rId10" Type="http://schemas.openxmlformats.org/officeDocument/2006/relationships/hyperlink" Target="https://kadastr.ru/magazine/publikatsii/mezhevanie-zemelnogo-uchastka-kak-provesti-i-skolko-eto-stoit-podrobnee-na-rbk-https-realty-rbc-ru-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dastr.ru/services/vyezdnoe-obsluzhivanie/" TargetMode="External"/><Relationship Id="rId14" Type="http://schemas.openxmlformats.org/officeDocument/2006/relationships/hyperlink" Target="mailto:press23@23.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user2142</dc:creator>
  <cp:lastModifiedBy>73U</cp:lastModifiedBy>
  <cp:revision>2</cp:revision>
  <dcterms:created xsi:type="dcterms:W3CDTF">2020-11-10T11:48:00Z</dcterms:created>
  <dcterms:modified xsi:type="dcterms:W3CDTF">2020-11-10T11:48:00Z</dcterms:modified>
</cp:coreProperties>
</file>